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75" w:rsidRDefault="00CD7E75" w:rsidP="00CD7E75">
      <w:pPr>
        <w:ind w:firstLine="708"/>
        <w:jc w:val="both"/>
        <w:rPr>
          <w:szCs w:val="24"/>
          <w:lang w:val="pl-PL"/>
        </w:rPr>
      </w:pPr>
    </w:p>
    <w:p w:rsidR="00CD7E75" w:rsidRDefault="00CD7E75" w:rsidP="00CD7E75">
      <w:pPr>
        <w:ind w:firstLine="708"/>
        <w:jc w:val="both"/>
        <w:rPr>
          <w:szCs w:val="24"/>
          <w:lang w:val="pl-PL"/>
        </w:rPr>
      </w:pPr>
    </w:p>
    <w:p w:rsidR="00CD7E75" w:rsidRPr="00CD7E75" w:rsidRDefault="00CD7E75" w:rsidP="00CD7E75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D7E75">
        <w:rPr>
          <w:b/>
          <w:sz w:val="28"/>
          <w:szCs w:val="28"/>
        </w:rPr>
        <w:t>D O C H O D Y</w:t>
      </w:r>
    </w:p>
    <w:p w:rsidR="00CD7E75" w:rsidRDefault="00CD7E75" w:rsidP="00CD7E75">
      <w:pPr>
        <w:rPr>
          <w:sz w:val="28"/>
          <w:szCs w:val="28"/>
        </w:rPr>
      </w:pPr>
    </w:p>
    <w:p w:rsidR="00CD7E75" w:rsidRDefault="00CD7E75" w:rsidP="00CD7E75">
      <w:pPr>
        <w:ind w:firstLine="708"/>
        <w:jc w:val="both"/>
        <w:rPr>
          <w:szCs w:val="24"/>
          <w:lang w:val="pl-PL"/>
        </w:rPr>
      </w:pPr>
      <w:r w:rsidRPr="001A09F4">
        <w:rPr>
          <w:szCs w:val="24"/>
        </w:rPr>
        <w:t>Plan na 20</w:t>
      </w:r>
      <w:r w:rsidRPr="001A09F4">
        <w:rPr>
          <w:szCs w:val="24"/>
          <w:lang w:val="pl-PL"/>
        </w:rPr>
        <w:t xml:space="preserve">13 </w:t>
      </w:r>
      <w:r w:rsidRPr="001A09F4">
        <w:rPr>
          <w:szCs w:val="24"/>
        </w:rPr>
        <w:t>r</w:t>
      </w:r>
      <w:r w:rsidRPr="001A09F4">
        <w:rPr>
          <w:szCs w:val="24"/>
          <w:lang w:val="pl-PL"/>
        </w:rPr>
        <w:t>ok</w:t>
      </w:r>
      <w:r w:rsidRPr="001A09F4">
        <w:rPr>
          <w:szCs w:val="24"/>
        </w:rPr>
        <w:t xml:space="preserve"> i wykonanie dochodów budżetowych </w:t>
      </w:r>
      <w:r>
        <w:rPr>
          <w:szCs w:val="24"/>
          <w:lang w:val="pl-PL"/>
        </w:rPr>
        <w:t>w</w:t>
      </w:r>
      <w:r w:rsidRPr="001A09F4">
        <w:rPr>
          <w:szCs w:val="24"/>
        </w:rPr>
        <w:t xml:space="preserve"> 201</w:t>
      </w:r>
      <w:r w:rsidRPr="001A09F4">
        <w:rPr>
          <w:szCs w:val="24"/>
          <w:lang w:val="pl-PL"/>
        </w:rPr>
        <w:t>3</w:t>
      </w:r>
      <w:r w:rsidRPr="001A09F4">
        <w:rPr>
          <w:szCs w:val="24"/>
        </w:rPr>
        <w:t>r</w:t>
      </w:r>
      <w:r w:rsidRPr="001A09F4">
        <w:rPr>
          <w:szCs w:val="24"/>
          <w:lang w:val="pl-PL"/>
        </w:rPr>
        <w:t>.</w:t>
      </w:r>
      <w:r w:rsidRPr="001A09F4">
        <w:rPr>
          <w:szCs w:val="24"/>
        </w:rPr>
        <w:t xml:space="preserve"> przedstawiają się następująco:</w:t>
      </w:r>
    </w:p>
    <w:p w:rsidR="00CD7E75" w:rsidRPr="00CC08E3" w:rsidRDefault="00CD7E75" w:rsidP="00CD7E75">
      <w:pPr>
        <w:ind w:firstLine="708"/>
        <w:jc w:val="both"/>
        <w:rPr>
          <w:szCs w:val="24"/>
          <w:lang w:val="pl-PL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22"/>
        <w:gridCol w:w="2835"/>
        <w:gridCol w:w="2126"/>
        <w:gridCol w:w="2127"/>
        <w:gridCol w:w="1275"/>
      </w:tblGrid>
      <w:tr w:rsidR="00CD7E75" w:rsidRPr="007F4594" w:rsidTr="00CD7E75">
        <w:trPr>
          <w:trHeight w:val="72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75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proofErr w:type="spellStart"/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>Plan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>Wykonanie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>% wykonania</w:t>
            </w:r>
          </w:p>
        </w:tc>
      </w:tr>
      <w:tr w:rsidR="00CD7E75" w:rsidRPr="007F4594" w:rsidTr="00CD7E75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75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>Dochody własne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 xml:space="preserve">          94 233 081,50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 xml:space="preserve">           81 120 954,27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>86,09</w:t>
            </w:r>
          </w:p>
        </w:tc>
      </w:tr>
      <w:tr w:rsidR="00CD7E75" w:rsidRPr="007F4594" w:rsidTr="00CD7E75">
        <w:trPr>
          <w:trHeight w:val="40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75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>Dotacje celowe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 xml:space="preserve">          23 049 660,14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 xml:space="preserve">           22 840 997,05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>99,09</w:t>
            </w:r>
          </w:p>
        </w:tc>
      </w:tr>
      <w:tr w:rsidR="00CD7E75" w:rsidRPr="007F4594" w:rsidTr="00CD7E75">
        <w:trPr>
          <w:trHeight w:val="40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75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>Subwencja ogólna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 xml:space="preserve">          20 484 146,00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 xml:space="preserve">           20 484 146,00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>100,00</w:t>
            </w:r>
          </w:p>
        </w:tc>
      </w:tr>
      <w:tr w:rsidR="00CD7E75" w:rsidRPr="007F4594" w:rsidTr="00CD7E75">
        <w:trPr>
          <w:trHeight w:val="42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75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>Dochody ze źródeł obcych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 xml:space="preserve">          10 184 087,98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 xml:space="preserve">            7 101 699,91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color w:val="000000"/>
                <w:sz w:val="22"/>
                <w:szCs w:val="22"/>
                <w:lang w:val="pl-PL"/>
              </w:rPr>
              <w:t>69,73</w:t>
            </w:r>
          </w:p>
        </w:tc>
      </w:tr>
      <w:tr w:rsidR="00CD7E75" w:rsidRPr="007F4594" w:rsidTr="00CD7E75">
        <w:trPr>
          <w:trHeight w:val="40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75" w:rsidRPr="007F4594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>Dochody ogółem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</w:t>
            </w: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147 950 975,62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 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131 547 797,23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7F4594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F4594">
              <w:rPr>
                <w:b/>
                <w:bCs/>
                <w:color w:val="000000"/>
                <w:sz w:val="22"/>
                <w:szCs w:val="22"/>
                <w:lang w:val="pl-PL"/>
              </w:rPr>
              <w:t>88,91</w:t>
            </w:r>
          </w:p>
        </w:tc>
      </w:tr>
    </w:tbl>
    <w:p w:rsidR="00CD7E75" w:rsidRPr="00BA5E4A" w:rsidRDefault="00CD7E75" w:rsidP="00CD7E75">
      <w:pPr>
        <w:ind w:firstLine="708"/>
        <w:jc w:val="both"/>
        <w:rPr>
          <w:szCs w:val="24"/>
          <w:lang w:val="pl-PL"/>
        </w:rPr>
      </w:pPr>
    </w:p>
    <w:p w:rsidR="00CD7E75" w:rsidRPr="007C1B07" w:rsidRDefault="00CD7E75" w:rsidP="00CD7E75">
      <w:pPr>
        <w:ind w:firstLine="708"/>
        <w:rPr>
          <w:sz w:val="28"/>
          <w:szCs w:val="28"/>
          <w:lang w:val="pl-PL"/>
        </w:rPr>
      </w:pPr>
    </w:p>
    <w:p w:rsidR="00CD7E75" w:rsidRDefault="00CD7E75" w:rsidP="00CD7E75">
      <w:pPr>
        <w:rPr>
          <w:szCs w:val="24"/>
          <w:lang w:val="pl-PL"/>
        </w:rPr>
      </w:pPr>
      <w:r w:rsidRPr="003C18FB">
        <w:rPr>
          <w:szCs w:val="24"/>
        </w:rPr>
        <w:t>Realizację dochodów własnych według ich źródeł przedstawia zestawienie:</w:t>
      </w:r>
    </w:p>
    <w:p w:rsidR="00CD7E75" w:rsidRPr="00F6628A" w:rsidRDefault="00CD7E75" w:rsidP="00CD7E75">
      <w:pPr>
        <w:rPr>
          <w:szCs w:val="24"/>
          <w:lang w:val="pl-PL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700"/>
        <w:gridCol w:w="2857"/>
        <w:gridCol w:w="2126"/>
        <w:gridCol w:w="2127"/>
        <w:gridCol w:w="1275"/>
      </w:tblGrid>
      <w:tr w:rsidR="00CD7E75" w:rsidRPr="00196F63" w:rsidTr="00CD7E75">
        <w:trPr>
          <w:trHeight w:val="7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196F63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proofErr w:type="spellStart"/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>Lp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196F63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196F63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>Plan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196F63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>Wykonanie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196F63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>% wykonania</w:t>
            </w:r>
          </w:p>
        </w:tc>
      </w:tr>
      <w:tr w:rsidR="00CD7E75" w:rsidRPr="00196F63" w:rsidTr="00CD7E75">
        <w:trPr>
          <w:trHeight w:val="4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1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Podatek dochodowy od osób fizycznych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29 188 758,00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28 124 122,00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96,35    </w:t>
            </w:r>
          </w:p>
        </w:tc>
      </w:tr>
      <w:tr w:rsidR="00CD7E75" w:rsidRPr="00196F63" w:rsidTr="00CD7E75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2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Podatek dochodowy od osób prawnych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1 730 000,00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1 914 315,32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110,65    </w:t>
            </w:r>
          </w:p>
        </w:tc>
      </w:tr>
      <w:tr w:rsidR="00CD7E75" w:rsidRPr="00196F63" w:rsidTr="00CD7E7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3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Podatek od nieruchomości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22 645 582,50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21 855 672,82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96,51    </w:t>
            </w:r>
          </w:p>
        </w:tc>
      </w:tr>
      <w:tr w:rsidR="00CD7E75" w:rsidRPr="00196F63" w:rsidTr="00CD7E7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4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Podatek rolny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227 100,00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217 374,83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95,72    </w:t>
            </w:r>
          </w:p>
        </w:tc>
      </w:tr>
      <w:tr w:rsidR="00CD7E75" w:rsidRPr="00196F63" w:rsidTr="00CD7E7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5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Podatek leśny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 46 000,00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46 210,80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100,46    </w:t>
            </w:r>
          </w:p>
        </w:tc>
      </w:tr>
      <w:tr w:rsidR="00CD7E75" w:rsidRPr="00196F63" w:rsidTr="00CD7E75">
        <w:trPr>
          <w:trHeight w:val="4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6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Podatek od środków transportowych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786 000,00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720 369,98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91,65    </w:t>
            </w:r>
          </w:p>
        </w:tc>
      </w:tr>
      <w:tr w:rsidR="00CD7E75" w:rsidRPr="00196F63" w:rsidTr="00CD7E75">
        <w:trPr>
          <w:trHeight w:val="7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7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Podatek od działalności gosp. os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ób 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>fiz</w:t>
            </w:r>
            <w:r>
              <w:rPr>
                <w:color w:val="000000"/>
                <w:sz w:val="22"/>
                <w:szCs w:val="22"/>
                <w:lang w:val="pl-PL"/>
              </w:rPr>
              <w:t>ycznych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opłacany w formie karty podatkowej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 30 000,00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23 342,44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77,81    </w:t>
            </w:r>
          </w:p>
        </w:tc>
      </w:tr>
      <w:tr w:rsidR="00CD7E75" w:rsidRPr="00196F63" w:rsidTr="00CD7E75">
        <w:trPr>
          <w:trHeight w:val="5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8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Podatek od spadków i darowizn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300 000,00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194 513,49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64,84    </w:t>
            </w:r>
          </w:p>
        </w:tc>
      </w:tr>
      <w:tr w:rsidR="00CD7E75" w:rsidRPr="00196F63" w:rsidTr="00CD7E7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9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Opłata od posiadania psów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 22 000,00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21 591,50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98,14    </w:t>
            </w:r>
          </w:p>
        </w:tc>
      </w:tr>
      <w:tr w:rsidR="00CD7E75" w:rsidRPr="00196F63" w:rsidTr="00CD7E7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10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Wpływy z opłaty skarbowej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700 000,00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522 375,60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74,63    </w:t>
            </w:r>
          </w:p>
        </w:tc>
      </w:tr>
      <w:tr w:rsidR="00CD7E75" w:rsidRPr="00196F63" w:rsidTr="00CD7E7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11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Wpływy z opłaty targowej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400 000,00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158 087,11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39,52    </w:t>
            </w:r>
          </w:p>
        </w:tc>
      </w:tr>
      <w:tr w:rsidR="00CD7E75" w:rsidRPr="00196F63" w:rsidTr="00CD7E75">
        <w:trPr>
          <w:trHeight w:val="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12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Wpływy z opłaty eksploatacyjnej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     200,00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    192,60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96,30    </w:t>
            </w:r>
          </w:p>
        </w:tc>
      </w:tr>
      <w:tr w:rsidR="00CD7E75" w:rsidRPr="00196F63" w:rsidTr="00CD7E75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13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Wpływy z opłaty za sprzedaż alkoholu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850 000,00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905 054,96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106,48    </w:t>
            </w:r>
          </w:p>
        </w:tc>
      </w:tr>
      <w:tr w:rsidR="00CD7E75" w:rsidRPr="00196F63" w:rsidTr="00CD7E75">
        <w:trPr>
          <w:trHeight w:val="4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14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Podatek od czynności cywilnoprawnych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1 012 000,00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1 124 206,46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111,09    </w:t>
            </w:r>
          </w:p>
        </w:tc>
      </w:tr>
      <w:tr w:rsidR="00CD7E75" w:rsidRPr="00196F63" w:rsidTr="00CD7E75">
        <w:trPr>
          <w:trHeight w:val="3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15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Dochody z majątku gminy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25 588 900,00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17 652 845,48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68,99    </w:t>
            </w:r>
          </w:p>
        </w:tc>
      </w:tr>
      <w:tr w:rsidR="00CD7E75" w:rsidRPr="00196F63" w:rsidTr="00CD7E75">
        <w:trPr>
          <w:trHeight w:val="7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lastRenderedPageBreak/>
              <w:t xml:space="preserve">  16    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Dochody </w:t>
            </w:r>
            <w:proofErr w:type="spellStart"/>
            <w:r w:rsidRPr="00196F63">
              <w:rPr>
                <w:color w:val="000000"/>
                <w:sz w:val="22"/>
                <w:szCs w:val="22"/>
                <w:lang w:val="pl-PL"/>
              </w:rPr>
              <w:t>jst</w:t>
            </w:r>
            <w:proofErr w:type="spellEnd"/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zw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iązane            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z realizacją zadań z zakr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esu 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>adm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inistracji 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>rząd</w:t>
            </w:r>
            <w:r>
              <w:rPr>
                <w:color w:val="000000"/>
                <w:sz w:val="22"/>
                <w:szCs w:val="22"/>
                <w:lang w:val="pl-PL"/>
              </w:rPr>
              <w:t>owej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oraz in. zad</w:t>
            </w:r>
            <w:r>
              <w:rPr>
                <w:color w:val="000000"/>
                <w:sz w:val="22"/>
                <w:szCs w:val="22"/>
                <w:lang w:val="pl-PL"/>
              </w:rPr>
              <w:t>ań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zlec</w:t>
            </w:r>
            <w:r>
              <w:rPr>
                <w:color w:val="000000"/>
                <w:sz w:val="22"/>
                <w:szCs w:val="22"/>
                <w:lang w:val="pl-PL"/>
              </w:rPr>
              <w:t>onych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ustawami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 44 530,00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50 158,76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112,64    </w:t>
            </w:r>
          </w:p>
        </w:tc>
      </w:tr>
      <w:tr w:rsidR="00CD7E75" w:rsidRPr="00196F63" w:rsidTr="00CD7E75">
        <w:trPr>
          <w:trHeight w:val="4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17  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Grzywny, mandaty i kary pieniężne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144 500,00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 78 126,87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54,07    </w:t>
            </w:r>
          </w:p>
        </w:tc>
      </w:tr>
      <w:tr w:rsidR="00CD7E75" w:rsidRPr="00196F63" w:rsidTr="00CD7E75">
        <w:trPr>
          <w:trHeight w:val="6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18   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Wpływy z opłat za trwały zarząd i użytkowanie wieczyste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 836 000,00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  812 408,03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97,18    </w:t>
            </w:r>
          </w:p>
        </w:tc>
      </w:tr>
      <w:tr w:rsidR="00CD7E75" w:rsidRPr="00196F63" w:rsidTr="00CD7E75">
        <w:trPr>
          <w:trHeight w:val="6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19   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Wpływy z opł</w:t>
            </w:r>
            <w:r>
              <w:rPr>
                <w:color w:val="000000"/>
                <w:sz w:val="22"/>
                <w:szCs w:val="22"/>
                <w:lang w:val="pl-PL"/>
              </w:rPr>
              <w:t>at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lokalnych pobieranych na podst</w:t>
            </w:r>
            <w:r>
              <w:rPr>
                <w:color w:val="000000"/>
                <w:sz w:val="22"/>
                <w:szCs w:val="22"/>
                <w:lang w:val="pl-PL"/>
              </w:rPr>
              <w:t>awie</w:t>
            </w: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odrębnych ustaw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2 921 300,00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2 184 254,95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74,77    </w:t>
            </w:r>
          </w:p>
        </w:tc>
      </w:tr>
      <w:tr w:rsidR="00CD7E75" w:rsidRPr="00196F63" w:rsidTr="00CD7E75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20   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Wpływy z usług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3 611 691,00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2 596 922,71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71,90    </w:t>
            </w:r>
          </w:p>
        </w:tc>
      </w:tr>
      <w:tr w:rsidR="00CD7E75" w:rsidRPr="00196F63" w:rsidTr="00CD7E75">
        <w:trPr>
          <w:trHeight w:val="3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21    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>Pozostałe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3 148 520,00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1 918 807,56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color w:val="000000"/>
                <w:sz w:val="22"/>
                <w:szCs w:val="22"/>
                <w:lang w:val="pl-PL"/>
              </w:rPr>
              <w:t xml:space="preserve">       60,94    </w:t>
            </w:r>
          </w:p>
        </w:tc>
      </w:tr>
      <w:tr w:rsidR="00CD7E75" w:rsidRPr="00196F63" w:rsidTr="00CD7E75">
        <w:trPr>
          <w:trHeight w:val="48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>Ogółem dochody własne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94 233 081,50   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</w:t>
            </w: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81 120 954,27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7E75" w:rsidRPr="00196F63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 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196F63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86,09    </w:t>
            </w:r>
          </w:p>
        </w:tc>
      </w:tr>
    </w:tbl>
    <w:p w:rsidR="00CD7E75" w:rsidRPr="00196F63" w:rsidRDefault="00CD7E75" w:rsidP="00CD7E75">
      <w:pPr>
        <w:rPr>
          <w:szCs w:val="24"/>
          <w:lang w:val="pl-PL"/>
        </w:rPr>
      </w:pPr>
    </w:p>
    <w:p w:rsidR="00CD7E75" w:rsidRPr="00D75B9C" w:rsidRDefault="00CD7E75" w:rsidP="00CD7E75">
      <w:pPr>
        <w:rPr>
          <w:szCs w:val="24"/>
          <w:lang w:val="pl-PL"/>
        </w:rPr>
      </w:pPr>
    </w:p>
    <w:p w:rsidR="00CD7E75" w:rsidRDefault="00CD7E75" w:rsidP="00CD7E75">
      <w:pPr>
        <w:rPr>
          <w:szCs w:val="24"/>
          <w:lang w:val="pl-PL"/>
        </w:rPr>
      </w:pPr>
      <w:r w:rsidRPr="003C18FB">
        <w:rPr>
          <w:szCs w:val="24"/>
        </w:rPr>
        <w:t xml:space="preserve">Realizację </w:t>
      </w:r>
      <w:r>
        <w:rPr>
          <w:szCs w:val="24"/>
          <w:lang w:val="pl-PL"/>
        </w:rPr>
        <w:t>dotacji celowych</w:t>
      </w:r>
      <w:r w:rsidRPr="003C18FB">
        <w:rPr>
          <w:szCs w:val="24"/>
        </w:rPr>
        <w:t xml:space="preserve"> przedstawia zestawienie:</w:t>
      </w:r>
    </w:p>
    <w:p w:rsidR="00CD7E75" w:rsidRPr="00FC1037" w:rsidRDefault="00CD7E75" w:rsidP="00CD7E75">
      <w:pPr>
        <w:rPr>
          <w:szCs w:val="24"/>
          <w:lang w:val="pl-PL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67"/>
        <w:gridCol w:w="3090"/>
        <w:gridCol w:w="2126"/>
        <w:gridCol w:w="2127"/>
        <w:gridCol w:w="1275"/>
      </w:tblGrid>
      <w:tr w:rsidR="00CD7E75" w:rsidRPr="00A31A8F" w:rsidTr="00CD7E75">
        <w:trPr>
          <w:trHeight w:val="74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>Plan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>Wykonanie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>% wykonania</w:t>
            </w:r>
          </w:p>
        </w:tc>
      </w:tr>
      <w:tr w:rsidR="00CD7E75" w:rsidRPr="00A31A8F" w:rsidTr="00CD7E75">
        <w:trPr>
          <w:trHeight w:val="84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Dotacje celowe na zad</w:t>
            </w:r>
            <w:r>
              <w:rPr>
                <w:color w:val="000000"/>
                <w:sz w:val="22"/>
                <w:szCs w:val="22"/>
                <w:lang w:val="pl-PL"/>
              </w:rPr>
              <w:t>ania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bież</w:t>
            </w:r>
            <w:r>
              <w:rPr>
                <w:color w:val="000000"/>
                <w:sz w:val="22"/>
                <w:szCs w:val="22"/>
                <w:lang w:val="pl-PL"/>
              </w:rPr>
              <w:t>ące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z </w:t>
            </w:r>
            <w:proofErr w:type="spellStart"/>
            <w:r w:rsidRPr="00A31A8F">
              <w:rPr>
                <w:color w:val="000000"/>
                <w:sz w:val="22"/>
                <w:szCs w:val="22"/>
                <w:lang w:val="pl-PL"/>
              </w:rPr>
              <w:t>zakr</w:t>
            </w:r>
            <w:proofErr w:type="spellEnd"/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. </w:t>
            </w:r>
            <w:proofErr w:type="spellStart"/>
            <w:r w:rsidRPr="00A31A8F">
              <w:rPr>
                <w:color w:val="000000"/>
                <w:sz w:val="22"/>
                <w:szCs w:val="22"/>
                <w:lang w:val="pl-PL"/>
              </w:rPr>
              <w:t>admin</w:t>
            </w:r>
            <w:proofErr w:type="spellEnd"/>
            <w:r w:rsidRPr="00A31A8F">
              <w:rPr>
                <w:color w:val="000000"/>
                <w:sz w:val="22"/>
                <w:szCs w:val="22"/>
                <w:lang w:val="pl-PL"/>
              </w:rPr>
              <w:t>. rządowej oraz in</w:t>
            </w:r>
            <w:r>
              <w:rPr>
                <w:color w:val="000000"/>
                <w:sz w:val="22"/>
                <w:szCs w:val="22"/>
                <w:lang w:val="pl-PL"/>
              </w:rPr>
              <w:t>ne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zad</w:t>
            </w:r>
            <w:r>
              <w:rPr>
                <w:color w:val="000000"/>
                <w:sz w:val="22"/>
                <w:szCs w:val="22"/>
                <w:lang w:val="pl-PL"/>
              </w:rPr>
              <w:t>ania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zlecone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14 482 325,54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14 379 015,69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99,29    </w:t>
            </w:r>
          </w:p>
        </w:tc>
      </w:tr>
      <w:tr w:rsidR="00CD7E75" w:rsidRPr="00A31A8F" w:rsidTr="00CD7E75">
        <w:trPr>
          <w:trHeight w:val="54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Dotacje celowe na zad</w:t>
            </w:r>
            <w:r>
              <w:rPr>
                <w:color w:val="000000"/>
                <w:sz w:val="22"/>
                <w:szCs w:val="22"/>
                <w:lang w:val="pl-PL"/>
              </w:rPr>
              <w:t>ania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bież</w:t>
            </w:r>
            <w:r>
              <w:rPr>
                <w:color w:val="000000"/>
                <w:sz w:val="22"/>
                <w:szCs w:val="22"/>
                <w:lang w:val="pl-PL"/>
              </w:rPr>
              <w:t>ące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własne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7 540 666,00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7 470 851,96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99,07    </w:t>
            </w:r>
          </w:p>
        </w:tc>
      </w:tr>
      <w:tr w:rsidR="00CD7E75" w:rsidRPr="00A31A8F" w:rsidTr="00CD7E75">
        <w:trPr>
          <w:trHeight w:val="113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Dotacje celowe  na zad</w:t>
            </w:r>
            <w:r>
              <w:rPr>
                <w:color w:val="000000"/>
                <w:sz w:val="22"/>
                <w:szCs w:val="22"/>
                <w:lang w:val="pl-PL"/>
              </w:rPr>
              <w:t>ania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bież</w:t>
            </w:r>
            <w:r>
              <w:rPr>
                <w:color w:val="000000"/>
                <w:sz w:val="22"/>
                <w:szCs w:val="22"/>
                <w:lang w:val="pl-PL"/>
              </w:rPr>
              <w:t>ące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realizowane na podst</w:t>
            </w:r>
            <w:r>
              <w:rPr>
                <w:color w:val="000000"/>
                <w:sz w:val="22"/>
                <w:szCs w:val="22"/>
                <w:lang w:val="pl-PL"/>
              </w:rPr>
              <w:t>awie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porozumień 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               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z organami </w:t>
            </w:r>
            <w:proofErr w:type="spellStart"/>
            <w:r w:rsidRPr="00A31A8F">
              <w:rPr>
                <w:color w:val="000000"/>
                <w:sz w:val="22"/>
                <w:szCs w:val="22"/>
                <w:lang w:val="pl-PL"/>
              </w:rPr>
              <w:t>admin</w:t>
            </w:r>
            <w:r>
              <w:rPr>
                <w:color w:val="000000"/>
                <w:sz w:val="22"/>
                <w:szCs w:val="22"/>
                <w:lang w:val="pl-PL"/>
              </w:rPr>
              <w:t>istr</w:t>
            </w:r>
            <w:proofErr w:type="spellEnd"/>
            <w:r w:rsidRPr="00A31A8F">
              <w:rPr>
                <w:color w:val="000000"/>
                <w:sz w:val="22"/>
                <w:szCs w:val="22"/>
                <w:lang w:val="pl-PL"/>
              </w:rPr>
              <w:t>. rządowej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    2 000,00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    2 000,00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100,00    </w:t>
            </w:r>
          </w:p>
        </w:tc>
      </w:tr>
      <w:tr w:rsidR="00CD7E75" w:rsidRPr="00A31A8F" w:rsidTr="00CD7E75">
        <w:trPr>
          <w:trHeight w:val="84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Dotacje celowe na zad</w:t>
            </w:r>
            <w:r>
              <w:rPr>
                <w:color w:val="000000"/>
                <w:sz w:val="22"/>
                <w:szCs w:val="22"/>
                <w:lang w:val="pl-PL"/>
              </w:rPr>
              <w:t>ania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bież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ące 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>z zakresu edukacyjnej opieki wychowawczej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108 025,00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  96 078,79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88,94    </w:t>
            </w:r>
          </w:p>
        </w:tc>
      </w:tr>
      <w:tr w:rsidR="00CD7E75" w:rsidRPr="00A31A8F" w:rsidTr="00CD7E75">
        <w:trPr>
          <w:trHeight w:val="9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Dotacje celowe na zad</w:t>
            </w:r>
            <w:r>
              <w:rPr>
                <w:color w:val="000000"/>
                <w:sz w:val="22"/>
                <w:szCs w:val="22"/>
                <w:lang w:val="pl-PL"/>
              </w:rPr>
              <w:t>ania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bież</w:t>
            </w:r>
            <w:r>
              <w:rPr>
                <w:color w:val="000000"/>
                <w:sz w:val="22"/>
                <w:szCs w:val="22"/>
                <w:lang w:val="pl-PL"/>
              </w:rPr>
              <w:t>ące realizowane na podst.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porozumień między </w:t>
            </w:r>
            <w:proofErr w:type="spellStart"/>
            <w:r w:rsidRPr="00A31A8F">
              <w:rPr>
                <w:color w:val="000000"/>
                <w:sz w:val="22"/>
                <w:szCs w:val="22"/>
                <w:lang w:val="pl-PL"/>
              </w:rPr>
              <w:t>jst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110 000,00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  86 407,01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78,55    </w:t>
            </w:r>
          </w:p>
        </w:tc>
      </w:tr>
      <w:tr w:rsidR="00CD7E75" w:rsidRPr="00A31A8F" w:rsidTr="00CD7E75">
        <w:trPr>
          <w:trHeight w:val="83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Środki na dofinans</w:t>
            </w:r>
            <w:r>
              <w:rPr>
                <w:color w:val="000000"/>
                <w:sz w:val="22"/>
                <w:szCs w:val="22"/>
                <w:lang w:val="pl-PL"/>
              </w:rPr>
              <w:t>owanie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zad</w:t>
            </w:r>
            <w:r>
              <w:rPr>
                <w:color w:val="000000"/>
                <w:sz w:val="22"/>
                <w:szCs w:val="22"/>
                <w:lang w:val="pl-PL"/>
              </w:rPr>
              <w:t>ań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bież</w:t>
            </w:r>
            <w:r>
              <w:rPr>
                <w:color w:val="000000"/>
                <w:sz w:val="22"/>
                <w:szCs w:val="22"/>
                <w:lang w:val="pl-PL"/>
              </w:rPr>
              <w:t>ących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własnych pozysk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ane  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z innych źródeł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  19 140,60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  19 140,60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100,00    </w:t>
            </w:r>
          </w:p>
        </w:tc>
      </w:tr>
      <w:tr w:rsidR="00CD7E75" w:rsidRPr="00A31A8F" w:rsidTr="00CD7E75">
        <w:trPr>
          <w:trHeight w:val="106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 xml:space="preserve">Dotacje celowe na inwestycje            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i zakupy inwest</w:t>
            </w:r>
            <w:r>
              <w:rPr>
                <w:color w:val="000000"/>
                <w:sz w:val="22"/>
                <w:szCs w:val="22"/>
                <w:lang w:val="pl-PL"/>
              </w:rPr>
              <w:t>ycyjne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z zakr</w:t>
            </w:r>
            <w:r>
              <w:rPr>
                <w:color w:val="000000"/>
                <w:sz w:val="22"/>
                <w:szCs w:val="22"/>
                <w:lang w:val="pl-PL"/>
              </w:rPr>
              <w:t>esu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admin</w:t>
            </w:r>
            <w:r>
              <w:rPr>
                <w:color w:val="000000"/>
                <w:sz w:val="22"/>
                <w:szCs w:val="22"/>
                <w:lang w:val="pl-PL"/>
              </w:rPr>
              <w:t>istracji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rządowej oraz in</w:t>
            </w:r>
            <w:r>
              <w:rPr>
                <w:color w:val="000000"/>
                <w:sz w:val="22"/>
                <w:szCs w:val="22"/>
                <w:lang w:val="pl-PL"/>
              </w:rPr>
              <w:t>ne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zad</w:t>
            </w:r>
            <w:r>
              <w:rPr>
                <w:color w:val="000000"/>
                <w:sz w:val="22"/>
                <w:szCs w:val="22"/>
                <w:lang w:val="pl-PL"/>
              </w:rPr>
              <w:t>ania</w:t>
            </w: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zlecone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ustawami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  87 663,00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  87 663,00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100,00    </w:t>
            </w:r>
          </w:p>
        </w:tc>
      </w:tr>
      <w:tr w:rsidR="00CD7E75" w:rsidRPr="00A31A8F" w:rsidTr="00CD7E75">
        <w:trPr>
          <w:trHeight w:val="73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>Dotacje celowe na inwestycje własne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699 840,00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     699 840,00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color w:val="000000"/>
                <w:sz w:val="22"/>
                <w:szCs w:val="22"/>
                <w:lang w:val="pl-PL"/>
              </w:rPr>
              <w:t xml:space="preserve">    100,00    </w:t>
            </w:r>
          </w:p>
        </w:tc>
      </w:tr>
      <w:tr w:rsidR="00CD7E75" w:rsidRPr="00A31A8F" w:rsidTr="00CD7E75">
        <w:trPr>
          <w:trHeight w:val="506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</w:t>
            </w: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23 049 660,14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</w:t>
            </w: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22 840 997,05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E75" w:rsidRPr="00A31A8F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  <w:r w:rsidRPr="00A31A8F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99,09    </w:t>
            </w:r>
          </w:p>
        </w:tc>
      </w:tr>
    </w:tbl>
    <w:p w:rsidR="00CD7E75" w:rsidRDefault="00CD7E75" w:rsidP="00CD7E75">
      <w:pPr>
        <w:rPr>
          <w:szCs w:val="24"/>
          <w:lang w:val="pl-PL"/>
        </w:rPr>
      </w:pPr>
      <w:r w:rsidRPr="003C18FB">
        <w:rPr>
          <w:szCs w:val="24"/>
        </w:rPr>
        <w:lastRenderedPageBreak/>
        <w:t xml:space="preserve">Realizację </w:t>
      </w:r>
      <w:r>
        <w:rPr>
          <w:szCs w:val="24"/>
          <w:lang w:val="pl-PL"/>
        </w:rPr>
        <w:t>subwencji</w:t>
      </w:r>
      <w:r w:rsidRPr="003C18FB">
        <w:rPr>
          <w:szCs w:val="24"/>
        </w:rPr>
        <w:t xml:space="preserve"> przedstawia zestawienie:</w:t>
      </w:r>
    </w:p>
    <w:p w:rsidR="00CD7E75" w:rsidRPr="00113DB3" w:rsidRDefault="00CD7E75" w:rsidP="00CD7E75">
      <w:pPr>
        <w:rPr>
          <w:szCs w:val="24"/>
          <w:lang w:val="pl-PL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5"/>
        <w:gridCol w:w="3132"/>
        <w:gridCol w:w="2136"/>
        <w:gridCol w:w="2127"/>
        <w:gridCol w:w="1275"/>
      </w:tblGrid>
      <w:tr w:rsidR="00CD7E75" w:rsidRPr="004F2B7A" w:rsidTr="00CD7E75">
        <w:trPr>
          <w:trHeight w:val="88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Plan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Wykonanie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% wykonania</w:t>
            </w:r>
          </w:p>
        </w:tc>
      </w:tr>
      <w:tr w:rsidR="00CD7E75" w:rsidRPr="004F2B7A" w:rsidTr="00CD7E75">
        <w:trPr>
          <w:trHeight w:val="45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Część oświatowa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19 767 578,00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19 767 578,00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100,00    </w:t>
            </w:r>
          </w:p>
        </w:tc>
      </w:tr>
      <w:tr w:rsidR="00CD7E75" w:rsidRPr="004F2B7A" w:rsidTr="00CD7E75">
        <w:trPr>
          <w:trHeight w:val="46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Część wyrównawcza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  575 262,00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  575 262,00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100,00    </w:t>
            </w:r>
          </w:p>
        </w:tc>
      </w:tr>
      <w:tr w:rsidR="00CD7E75" w:rsidRPr="004F2B7A" w:rsidTr="00CD7E75">
        <w:trPr>
          <w:trHeight w:val="480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Część równoważąca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    50 719,00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   50 719,00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100,00    </w:t>
            </w:r>
          </w:p>
        </w:tc>
      </w:tr>
      <w:tr w:rsidR="00CD7E75" w:rsidRPr="004F2B7A" w:rsidTr="00CD7E75">
        <w:trPr>
          <w:trHeight w:val="48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Uzup</w:t>
            </w:r>
            <w:r>
              <w:rPr>
                <w:color w:val="000000"/>
                <w:sz w:val="22"/>
                <w:szCs w:val="22"/>
                <w:lang w:val="pl-PL"/>
              </w:rPr>
              <w:t>ełnienie</w:t>
            </w: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subwencji og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ólnej 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    90 587,00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   90 587,00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100,00    </w:t>
            </w:r>
          </w:p>
        </w:tc>
      </w:tr>
      <w:tr w:rsidR="00CD7E75" w:rsidRPr="004F2B7A" w:rsidTr="00CD7E75">
        <w:trPr>
          <w:trHeight w:val="600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   </w:t>
            </w: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20 484 146,00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 </w:t>
            </w: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20 484 146,00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 </w:t>
            </w: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100,00    </w:t>
            </w:r>
          </w:p>
        </w:tc>
      </w:tr>
    </w:tbl>
    <w:p w:rsidR="00B3217E" w:rsidRDefault="00B3217E" w:rsidP="00CD7E75">
      <w:pPr>
        <w:rPr>
          <w:szCs w:val="24"/>
          <w:lang w:val="pl-PL"/>
        </w:rPr>
      </w:pPr>
    </w:p>
    <w:p w:rsidR="00CD7E75" w:rsidRDefault="00CD7E75" w:rsidP="00CD7E75">
      <w:pPr>
        <w:rPr>
          <w:szCs w:val="24"/>
          <w:lang w:val="pl-PL"/>
        </w:rPr>
      </w:pPr>
      <w:r w:rsidRPr="003C18FB">
        <w:rPr>
          <w:szCs w:val="24"/>
        </w:rPr>
        <w:t xml:space="preserve">Realizację </w:t>
      </w:r>
      <w:r>
        <w:rPr>
          <w:szCs w:val="24"/>
          <w:lang w:val="pl-PL"/>
        </w:rPr>
        <w:t>dochodów ze źródeł obcych</w:t>
      </w:r>
      <w:r w:rsidRPr="003C18FB">
        <w:rPr>
          <w:szCs w:val="24"/>
        </w:rPr>
        <w:t xml:space="preserve"> przedstawia zestawienie:</w:t>
      </w:r>
    </w:p>
    <w:p w:rsidR="00CD7E75" w:rsidRPr="007C6D3F" w:rsidRDefault="00CD7E75" w:rsidP="00CD7E75">
      <w:pPr>
        <w:rPr>
          <w:szCs w:val="24"/>
          <w:lang w:val="pl-PL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80"/>
        <w:gridCol w:w="3077"/>
        <w:gridCol w:w="2126"/>
        <w:gridCol w:w="2127"/>
        <w:gridCol w:w="1275"/>
      </w:tblGrid>
      <w:tr w:rsidR="00CD7E75" w:rsidRPr="004F2B7A" w:rsidTr="00CD7E75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Plan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Wykonanie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% wykonania</w:t>
            </w:r>
          </w:p>
        </w:tc>
      </w:tr>
      <w:tr w:rsidR="00CD7E75" w:rsidRPr="004F2B7A" w:rsidTr="00CD7E75">
        <w:trPr>
          <w:trHeight w:val="11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Dotacje celowe na zadania bieżące w ramach programów finan</w:t>
            </w:r>
            <w:r>
              <w:rPr>
                <w:color w:val="000000"/>
                <w:sz w:val="22"/>
                <w:szCs w:val="22"/>
                <w:lang w:val="pl-PL"/>
              </w:rPr>
              <w:t>s</w:t>
            </w:r>
            <w:r w:rsidRPr="004F2B7A">
              <w:rPr>
                <w:color w:val="000000"/>
                <w:sz w:val="22"/>
                <w:szCs w:val="22"/>
                <w:lang w:val="pl-PL"/>
              </w:rPr>
              <w:t>ow</w:t>
            </w:r>
            <w:r>
              <w:rPr>
                <w:color w:val="000000"/>
                <w:sz w:val="22"/>
                <w:szCs w:val="22"/>
                <w:lang w:val="pl-PL"/>
              </w:rPr>
              <w:t>anych</w:t>
            </w: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z udziałem środków europejskich w tym: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2 759 919,13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2 511 586,78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91,00    </w:t>
            </w:r>
          </w:p>
        </w:tc>
      </w:tr>
      <w:tr w:rsidR="00CD7E75" w:rsidRPr="004F2B7A" w:rsidTr="00CD7E75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z budżetu 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2 480 625,75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2 256 420,77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90,96    </w:t>
            </w:r>
          </w:p>
        </w:tc>
      </w:tr>
      <w:tr w:rsidR="00CD7E75" w:rsidRPr="004F2B7A" w:rsidTr="00CD7E75">
        <w:trPr>
          <w:trHeight w:val="49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z budżetu krajowego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  279 293,38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255 166,01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91,36    </w:t>
            </w:r>
          </w:p>
        </w:tc>
      </w:tr>
      <w:tr w:rsidR="00CD7E75" w:rsidRPr="004F2B7A" w:rsidTr="00CD7E75">
        <w:trPr>
          <w:trHeight w:val="1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Dotacje celowe na zad</w:t>
            </w:r>
            <w:r>
              <w:rPr>
                <w:color w:val="000000"/>
                <w:sz w:val="22"/>
                <w:szCs w:val="22"/>
                <w:lang w:val="pl-PL"/>
              </w:rPr>
              <w:t>ania</w:t>
            </w: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inwestycyjne w ramach programów finan</w:t>
            </w:r>
            <w:r>
              <w:rPr>
                <w:color w:val="000000"/>
                <w:sz w:val="22"/>
                <w:szCs w:val="22"/>
                <w:lang w:val="pl-PL"/>
              </w:rPr>
              <w:t>s</w:t>
            </w:r>
            <w:r w:rsidRPr="004F2B7A">
              <w:rPr>
                <w:color w:val="000000"/>
                <w:sz w:val="22"/>
                <w:szCs w:val="22"/>
                <w:lang w:val="pl-PL"/>
              </w:rPr>
              <w:t>ow</w:t>
            </w:r>
            <w:r>
              <w:rPr>
                <w:color w:val="000000"/>
                <w:sz w:val="22"/>
                <w:szCs w:val="22"/>
                <w:lang w:val="pl-PL"/>
              </w:rPr>
              <w:t>anych</w:t>
            </w: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val="pl-PL"/>
              </w:rPr>
              <w:t xml:space="preserve">        </w:t>
            </w:r>
            <w:r w:rsidRPr="004F2B7A">
              <w:rPr>
                <w:color w:val="000000"/>
                <w:sz w:val="22"/>
                <w:szCs w:val="22"/>
                <w:lang w:val="pl-PL"/>
              </w:rPr>
              <w:t>z udziałem środków europejskich w tym: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7 424 168,85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4 590 113,13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61,83    </w:t>
            </w:r>
          </w:p>
        </w:tc>
      </w:tr>
      <w:tr w:rsidR="00CD7E75" w:rsidRPr="004F2B7A" w:rsidTr="00CD7E75">
        <w:trPr>
          <w:trHeight w:val="42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z budżetu 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7 014 922,80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4 234 341,55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60,36    </w:t>
            </w:r>
          </w:p>
        </w:tc>
      </w:tr>
      <w:tr w:rsidR="00CD7E75" w:rsidRPr="004F2B7A" w:rsidTr="00CD7E75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>z budżetu krajowego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  409 246,05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 355 771,58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color w:val="000000"/>
                <w:sz w:val="22"/>
                <w:szCs w:val="22"/>
                <w:lang w:val="pl-PL"/>
              </w:rPr>
              <w:t xml:space="preserve">       86,93    </w:t>
            </w:r>
          </w:p>
        </w:tc>
      </w:tr>
      <w:tr w:rsidR="00CD7E75" w:rsidRPr="004F2B7A" w:rsidTr="00CD7E75">
        <w:trPr>
          <w:trHeight w:val="70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3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</w:t>
            </w: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10 184 087,98   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 </w:t>
            </w: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7 101 699,91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E75" w:rsidRPr="004F2B7A" w:rsidRDefault="00CD7E75" w:rsidP="00CD7E75">
            <w:pPr>
              <w:widowControl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4F2B7A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   69,73    </w:t>
            </w:r>
          </w:p>
        </w:tc>
      </w:tr>
    </w:tbl>
    <w:p w:rsidR="00CD7E75" w:rsidRPr="005C57C2" w:rsidRDefault="00CD7E75" w:rsidP="00CD7E75">
      <w:pPr>
        <w:rPr>
          <w:szCs w:val="24"/>
          <w:lang w:val="pl-PL"/>
        </w:rPr>
      </w:pPr>
    </w:p>
    <w:p w:rsidR="00CD7E75" w:rsidRDefault="00CD7E75" w:rsidP="00CD7E75">
      <w:pPr>
        <w:pStyle w:val="NormalnyWeb"/>
        <w:spacing w:after="0"/>
        <w:ind w:firstLine="1134"/>
        <w:jc w:val="both"/>
      </w:pPr>
      <w:r w:rsidRPr="005C02E7">
        <w:t>Wskaźnik wykonania dochodów budżetowych za 201</w:t>
      </w:r>
      <w:r>
        <w:t>3</w:t>
      </w:r>
      <w:r w:rsidRPr="005C02E7">
        <w:t xml:space="preserve">r. wynoszący </w:t>
      </w:r>
      <w:r>
        <w:t>88,91</w:t>
      </w:r>
      <w:r w:rsidRPr="005C02E7">
        <w:t xml:space="preserve">% planu rocznego można uznać za zadowalający. Dochody zostały wykonane na </w:t>
      </w:r>
      <w:r>
        <w:t xml:space="preserve">zdecydowanie </w:t>
      </w:r>
      <w:r w:rsidRPr="005C02E7">
        <w:t xml:space="preserve"> wyższym </w:t>
      </w:r>
      <w:r>
        <w:t xml:space="preserve">poziomie </w:t>
      </w:r>
      <w:r w:rsidRPr="005C02E7">
        <w:t xml:space="preserve">niż w </w:t>
      </w:r>
      <w:r>
        <w:t>2012</w:t>
      </w:r>
      <w:r w:rsidRPr="005C02E7">
        <w:t xml:space="preserve"> roku</w:t>
      </w:r>
      <w:r>
        <w:t xml:space="preserve"> – wzrost o 9.865.431,99 zł tj.</w:t>
      </w:r>
      <w:r w:rsidRPr="00EF5335">
        <w:t xml:space="preserve"> </w:t>
      </w:r>
      <w:r>
        <w:t>8,11</w:t>
      </w:r>
      <w:r w:rsidRPr="005C02E7">
        <w:t xml:space="preserve"> </w:t>
      </w:r>
      <w:proofErr w:type="spellStart"/>
      <w:r w:rsidRPr="005C02E7">
        <w:t>p.p</w:t>
      </w:r>
      <w:proofErr w:type="spellEnd"/>
      <w:r w:rsidRPr="005C02E7">
        <w:t>.</w:t>
      </w:r>
    </w:p>
    <w:p w:rsidR="00CD7E75" w:rsidRPr="005C02E7" w:rsidRDefault="00CD7E75" w:rsidP="00CD7E75">
      <w:pPr>
        <w:pStyle w:val="NormalnyWeb"/>
        <w:spacing w:after="0"/>
        <w:ind w:firstLine="1134"/>
        <w:jc w:val="both"/>
      </w:pPr>
      <w:r w:rsidRPr="005C02E7">
        <w:t xml:space="preserve">Niższy niż oczekiwany poziom dochodów jest głównie wynikiem niskiego poziomu wpływu środków pozyskanych z innych źródeł </w:t>
      </w:r>
      <w:r>
        <w:t xml:space="preserve">- </w:t>
      </w:r>
      <w:r w:rsidRPr="005C02E7">
        <w:t xml:space="preserve">wykonanie na poziomie </w:t>
      </w:r>
      <w:r>
        <w:t>69,73</w:t>
      </w:r>
      <w:r w:rsidRPr="005C02E7">
        <w:t>% planu</w:t>
      </w:r>
      <w:r>
        <w:t xml:space="preserve">. </w:t>
      </w:r>
      <w:r w:rsidRPr="005C02E7">
        <w:t xml:space="preserve">Środki </w:t>
      </w:r>
      <w:r>
        <w:t xml:space="preserve">ze źródeł obcych </w:t>
      </w:r>
      <w:r w:rsidRPr="005C02E7">
        <w:t xml:space="preserve">przekazywane są przez instytucje zarządzające w miarę realizacji inwestycji </w:t>
      </w:r>
      <w:r>
        <w:t>i h</w:t>
      </w:r>
      <w:r w:rsidRPr="005C02E7">
        <w:t>armonogram</w:t>
      </w:r>
      <w:r>
        <w:t>ów</w:t>
      </w:r>
      <w:r w:rsidRPr="005C02E7">
        <w:t xml:space="preserve"> wynikający</w:t>
      </w:r>
      <w:r>
        <w:t>ch</w:t>
      </w:r>
      <w:r w:rsidRPr="005C02E7">
        <w:t xml:space="preserve"> z umów o dofinansowanie</w:t>
      </w:r>
      <w:r>
        <w:t xml:space="preserve"> oraz zgodnie z postępem prac w ramach przedsięwzięć inwestycyjnych i ustaleniami z instytucjami </w:t>
      </w:r>
      <w:r>
        <w:lastRenderedPageBreak/>
        <w:t>wdrażającymi</w:t>
      </w:r>
      <w:r w:rsidRPr="005C02E7">
        <w:t>.</w:t>
      </w:r>
      <w:r>
        <w:t xml:space="preserve"> W trzech spośród funkcjonujących projektów przesunięto wykorzystanie części środków w kwocie łącznej 455.176,10 zł z 2013 na 2014r. </w:t>
      </w:r>
      <w:r w:rsidRPr="005C02E7">
        <w:t xml:space="preserve"> </w:t>
      </w:r>
    </w:p>
    <w:p w:rsidR="00CD7E75" w:rsidRDefault="00CD7E75" w:rsidP="00CD7E75">
      <w:pPr>
        <w:pStyle w:val="NormalnyWeb"/>
        <w:spacing w:after="0"/>
        <w:ind w:firstLine="1134"/>
        <w:jc w:val="both"/>
      </w:pPr>
      <w:r w:rsidRPr="005C02E7">
        <w:rPr>
          <w:i/>
          <w:iCs/>
        </w:rPr>
        <w:t>S</w:t>
      </w:r>
      <w:r w:rsidRPr="005C02E7">
        <w:t xml:space="preserve">topień realizacji dochodów własnych </w:t>
      </w:r>
      <w:r>
        <w:t xml:space="preserve">na poziomie 86,09% </w:t>
      </w:r>
      <w:r w:rsidRPr="005C02E7">
        <w:t xml:space="preserve"> jest stosunkowo </w:t>
      </w:r>
      <w:r>
        <w:t>zadawalający.  Przeprowadzona analiza wykonania planu wykazała realizację zbliżoną          do zaplanowanych wielkości w większości pozycji, co świadczy o przemyślanej strategii dochodów. Najwyższy udział w całości dochodów własnych stanowi podatek                         od nieruchomości (24% planowanych i 27% wykonanych dochodów).                                                W 2013 r. funkcjonowało 17.189 aktywnych kart podatnika w ramach osób fizycznych oraz 335 kart dotyczących osób prawnych. W celu zwiększenia egzekwowalności tego podatku                     w 2013r. wystawiono 6.646 upomnień i 690 tytułów wykonawczych na kwotę ogółem 1.585.598,31 zł.</w:t>
      </w:r>
    </w:p>
    <w:p w:rsidR="00CD7E75" w:rsidRDefault="00CD7E75" w:rsidP="00B3217E">
      <w:pPr>
        <w:pStyle w:val="NormalnyWeb"/>
        <w:spacing w:before="0" w:beforeAutospacing="0" w:after="0"/>
        <w:jc w:val="both"/>
      </w:pPr>
      <w:r>
        <w:t>Realizacja powyżej planu dotyczyła pozycji nie uzależnionych w pełni od działań gminy                       i trudnych do przewidzenia, tj.:</w:t>
      </w:r>
    </w:p>
    <w:p w:rsidR="00CD7E75" w:rsidRDefault="00CD7E75" w:rsidP="00B3217E">
      <w:pPr>
        <w:pStyle w:val="NormalnyWeb"/>
        <w:numPr>
          <w:ilvl w:val="0"/>
          <w:numId w:val="2"/>
        </w:numPr>
        <w:spacing w:before="0" w:beforeAutospacing="0" w:after="0"/>
        <w:ind w:left="709" w:hanging="283"/>
        <w:jc w:val="both"/>
      </w:pPr>
      <w:r>
        <w:t>podatek dochodowy od osób prawnych (110,65%)</w:t>
      </w:r>
    </w:p>
    <w:p w:rsidR="00CD7E75" w:rsidRDefault="00CD7E75" w:rsidP="00B3217E">
      <w:pPr>
        <w:pStyle w:val="NormalnyWeb"/>
        <w:numPr>
          <w:ilvl w:val="0"/>
          <w:numId w:val="2"/>
        </w:numPr>
        <w:spacing w:before="0" w:beforeAutospacing="0" w:after="0"/>
        <w:ind w:left="709" w:hanging="283"/>
        <w:jc w:val="both"/>
      </w:pPr>
      <w:r>
        <w:t>podatek od czynności cywilno-prawnych (111,09%)</w:t>
      </w:r>
    </w:p>
    <w:p w:rsidR="00CD7E75" w:rsidRPr="00D56BC7" w:rsidRDefault="00CD7E75" w:rsidP="00B3217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709" w:hanging="283"/>
        <w:jc w:val="both"/>
        <w:rPr>
          <w:szCs w:val="24"/>
        </w:rPr>
      </w:pPr>
      <w:r>
        <w:t xml:space="preserve">dochody jst zw. z realizacją zadań z zakresu administracji rządowej oraz in. zadań zleconych ustawami, np. </w:t>
      </w:r>
      <w:r w:rsidRPr="00EB7654">
        <w:rPr>
          <w:szCs w:val="24"/>
          <w:lang w:val="pl-PL"/>
        </w:rPr>
        <w:t xml:space="preserve">udział gminy w kwocie zwrotu przez dłużnika alimentacyjnego należności </w:t>
      </w:r>
      <w:r w:rsidRPr="00EB7654">
        <w:rPr>
          <w:szCs w:val="24"/>
        </w:rPr>
        <w:t xml:space="preserve">wypłaconych z funduszu alimentacyjnego osobie uprawnionej </w:t>
      </w:r>
      <w:r>
        <w:rPr>
          <w:szCs w:val="24"/>
          <w:lang w:val="pl-PL"/>
        </w:rPr>
        <w:t>(112,64%)</w:t>
      </w:r>
    </w:p>
    <w:p w:rsidR="00CD7E75" w:rsidRDefault="00CD7E75" w:rsidP="000265C1">
      <w:pPr>
        <w:widowControl/>
        <w:suppressAutoHyphens w:val="0"/>
        <w:autoSpaceDE w:val="0"/>
        <w:autoSpaceDN w:val="0"/>
        <w:adjustRightInd w:val="0"/>
        <w:jc w:val="both"/>
        <w:rPr>
          <w:szCs w:val="24"/>
          <w:lang w:val="pl-PL"/>
        </w:rPr>
      </w:pPr>
      <w:r>
        <w:rPr>
          <w:szCs w:val="24"/>
          <w:lang w:val="pl-PL"/>
        </w:rPr>
        <w:t>Najbardziej odbiegająca od planu In minus jest również realizacja w pozycjach, na wykonanie których gmina ma ograniczony wpływ np. wynikających z koniunktury, sytuacji rynkowej,  itp., tj.:</w:t>
      </w:r>
    </w:p>
    <w:p w:rsidR="00CD7E75" w:rsidRPr="0053724D" w:rsidRDefault="00CD7E75" w:rsidP="000265C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  <w:lang w:val="pl-PL"/>
        </w:rPr>
        <w:t>podatek od spadków i darowizn (64,84%)</w:t>
      </w:r>
    </w:p>
    <w:p w:rsidR="00CD7E75" w:rsidRPr="0053724D" w:rsidRDefault="00CD7E75" w:rsidP="000265C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  <w:lang w:val="pl-PL"/>
        </w:rPr>
        <w:t>wpływy z opłaty targowej (39,52%)</w:t>
      </w:r>
    </w:p>
    <w:p w:rsidR="00CD7E75" w:rsidRPr="00065115" w:rsidRDefault="00CD7E75" w:rsidP="000265C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  <w:lang w:val="pl-PL"/>
        </w:rPr>
        <w:t>dochody z majątku gminy (68,99%)</w:t>
      </w:r>
    </w:p>
    <w:p w:rsidR="00CD7E75" w:rsidRPr="003C5DF1" w:rsidRDefault="00CD7E75" w:rsidP="000265C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  <w:lang w:val="pl-PL"/>
        </w:rPr>
        <w:t>grzywny, mandaty i kary pieniężne (54,07%)</w:t>
      </w:r>
    </w:p>
    <w:p w:rsidR="00CD7E75" w:rsidRPr="005B5292" w:rsidRDefault="00CD7E75" w:rsidP="000265C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  <w:lang w:val="pl-PL"/>
        </w:rPr>
        <w:t>pozostałe (60,94%).</w:t>
      </w:r>
    </w:p>
    <w:p w:rsidR="00CD7E75" w:rsidRPr="0056597E" w:rsidRDefault="00CD7E75" w:rsidP="00CD7E75">
      <w:pPr>
        <w:widowControl/>
        <w:suppressAutoHyphens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  <w:lang w:val="pl-PL"/>
        </w:rPr>
        <w:t xml:space="preserve">Najniższy stopień realizacji wpływów opłaty targowej jest objęty postępowaniem wyjaśniającym. Dochody z majątku gminy wykonano na w/w poziomie głównie dzięki </w:t>
      </w:r>
      <w:r>
        <w:t>wpływ</w:t>
      </w:r>
      <w:r>
        <w:rPr>
          <w:lang w:val="pl-PL"/>
        </w:rPr>
        <w:t>owi</w:t>
      </w:r>
      <w:r>
        <w:t xml:space="preserve"> środków z umorzenia udziałów gminy w spółce Energetyka Cieplna</w:t>
      </w:r>
      <w:r>
        <w:rPr>
          <w:lang w:val="pl-PL"/>
        </w:rPr>
        <w:t xml:space="preserve">, natomiast </w:t>
      </w:r>
      <w:proofErr w:type="spellStart"/>
      <w:r>
        <w:rPr>
          <w:lang w:val="pl-PL"/>
        </w:rPr>
        <w:t>naj</w:t>
      </w:r>
      <w:proofErr w:type="spellEnd"/>
      <w:r>
        <w:t>trudn</w:t>
      </w:r>
      <w:proofErr w:type="spellStart"/>
      <w:r>
        <w:rPr>
          <w:lang w:val="pl-PL"/>
        </w:rPr>
        <w:t>iejsza</w:t>
      </w:r>
      <w:proofErr w:type="spellEnd"/>
      <w:r>
        <w:t xml:space="preserve"> sytuacja występuje w realizacji wpływów z odpłatnego nabycia prawa własności. </w:t>
      </w:r>
      <w:r>
        <w:rPr>
          <w:lang w:val="pl-PL"/>
        </w:rPr>
        <w:t>S</w:t>
      </w:r>
      <w:r>
        <w:t>przeda</w:t>
      </w:r>
      <w:r>
        <w:rPr>
          <w:lang w:val="pl-PL"/>
        </w:rPr>
        <w:t>no</w:t>
      </w:r>
      <w:r>
        <w:t xml:space="preserve"> </w:t>
      </w:r>
      <w:r>
        <w:rPr>
          <w:lang w:val="pl-PL"/>
        </w:rPr>
        <w:t>70</w:t>
      </w:r>
      <w:r>
        <w:t xml:space="preserve"> lokali mieszkalnych i 3 lokali użytkowych. Dokonano sprzedaży</w:t>
      </w:r>
      <w:r>
        <w:rPr>
          <w:lang w:val="pl-PL"/>
        </w:rPr>
        <w:t xml:space="preserve">                        </w:t>
      </w:r>
      <w:r>
        <w:t xml:space="preserve"> </w:t>
      </w:r>
      <w:r>
        <w:rPr>
          <w:lang w:val="pl-PL"/>
        </w:rPr>
        <w:t>17</w:t>
      </w:r>
      <w:r>
        <w:t xml:space="preserve"> nieruchomości gruntowych położonych przy ul. Prusa, Sienkiewicza, Niepodległości, Metalowców</w:t>
      </w:r>
      <w:r>
        <w:rPr>
          <w:lang w:val="pl-PL"/>
        </w:rPr>
        <w:t>, Bobowskich, Słowackiego, Wileńskiej, Legionów, Piłsudskiego, Pięknej, Szmaragdowej</w:t>
      </w:r>
      <w:r>
        <w:t xml:space="preserve"> oraz  jednej nieruchomości zabudowanej przy</w:t>
      </w:r>
      <w:r>
        <w:rPr>
          <w:lang w:val="pl-PL"/>
        </w:rPr>
        <w:t xml:space="preserve"> </w:t>
      </w:r>
      <w:r>
        <w:t xml:space="preserve">ul. Niepodległości. </w:t>
      </w:r>
      <w:r w:rsidRPr="005C02E7">
        <w:t xml:space="preserve">Ze względu na brak nabywców, przetargi na sprzedaż kilku nieruchomości gruntowych położonych przy ul. </w:t>
      </w:r>
      <w:r>
        <w:t>Legionów</w:t>
      </w:r>
      <w:r w:rsidRPr="005C02E7">
        <w:t xml:space="preserve">, </w:t>
      </w:r>
      <w:r>
        <w:t xml:space="preserve">Pięknej/Bobowskich, </w:t>
      </w:r>
      <w:r w:rsidRPr="005C02E7">
        <w:t xml:space="preserve">Paryskiej (dawny ośrodek „Bernatka”), </w:t>
      </w:r>
      <w:r>
        <w:t xml:space="preserve">Niepodległości </w:t>
      </w:r>
      <w:r>
        <w:rPr>
          <w:lang w:val="pl-PL"/>
        </w:rPr>
        <w:t xml:space="preserve">Rajdowej/Wieżowej </w:t>
      </w:r>
      <w:r w:rsidRPr="005C02E7">
        <w:t xml:space="preserve">oraz sprzedaż </w:t>
      </w:r>
      <w:r>
        <w:t>prawa użytkowania wieczystego nieruchomości</w:t>
      </w:r>
      <w:r w:rsidRPr="005C02E7">
        <w:t xml:space="preserve"> przy</w:t>
      </w:r>
      <w:r>
        <w:rPr>
          <w:lang w:val="pl-PL"/>
        </w:rPr>
        <w:t xml:space="preserve">                      </w:t>
      </w:r>
      <w:r w:rsidRPr="005C02E7">
        <w:t xml:space="preserve"> ul. </w:t>
      </w:r>
      <w:r>
        <w:t>Asfaltowej</w:t>
      </w:r>
      <w:r>
        <w:rPr>
          <w:lang w:val="pl-PL"/>
        </w:rPr>
        <w:t xml:space="preserve"> oraz </w:t>
      </w:r>
      <w:r>
        <w:t>Sokolej/Tysiąclecia</w:t>
      </w:r>
      <w:r w:rsidRPr="005C02E7">
        <w:t>, zakończyły się wynikiem negatywnym</w:t>
      </w:r>
      <w:r>
        <w:t xml:space="preserve">. </w:t>
      </w:r>
    </w:p>
    <w:p w:rsidR="00CD7E75" w:rsidRDefault="00CD7E75" w:rsidP="00CD7E75">
      <w:pPr>
        <w:pStyle w:val="NormalnyWeb"/>
        <w:spacing w:after="0"/>
        <w:jc w:val="both"/>
      </w:pPr>
      <w:r w:rsidRPr="005C02E7">
        <w:t xml:space="preserve">W związku z ustawowym zniesieniem bonifikat od opłat z tytułu przekształcenia prawa użytkowania wieczystego w prawo własności nieruchomości gruntowych </w:t>
      </w:r>
      <w:r>
        <w:t>zmalało</w:t>
      </w:r>
      <w:r w:rsidRPr="005C02E7">
        <w:t xml:space="preserve"> zainteresowani</w:t>
      </w:r>
      <w:r>
        <w:t>e</w:t>
      </w:r>
      <w:r w:rsidRPr="005C02E7">
        <w:t xml:space="preserve"> przekształceniem wśród użytkowników lokali. </w:t>
      </w:r>
      <w:r>
        <w:t xml:space="preserve">Przekształcono w prawo własności siedem nieruchomości przeznaczone pod działalność gospodarczą,                                  bez uwzględnienia bonifikaty. </w:t>
      </w:r>
    </w:p>
    <w:p w:rsidR="00CD7E75" w:rsidRDefault="00CD7E75" w:rsidP="00CD7E75">
      <w:pPr>
        <w:pStyle w:val="NormalnyWeb"/>
        <w:spacing w:after="0"/>
        <w:jc w:val="both"/>
      </w:pPr>
      <w:r>
        <w:t>W ramach pozostałych dochodów największą grupę stanowią wpływy z różnych opłat                      (np. za żłobki, zezwolenia, opracowanie dokumentacji itp.), odsetki, opłaty za korzystanie ze środowiska oraz rekompensaty utraconych dochodów w podatkach i opłatach lokalnych.</w:t>
      </w:r>
    </w:p>
    <w:p w:rsidR="00CD7E75" w:rsidRDefault="00CD7E75" w:rsidP="00BF1387">
      <w:pPr>
        <w:pStyle w:val="NormalnyWeb"/>
        <w:spacing w:after="0"/>
        <w:jc w:val="both"/>
      </w:pPr>
      <w:r>
        <w:lastRenderedPageBreak/>
        <w:t xml:space="preserve">Stosunkowo niski tj. 79,74% jest wpływ dochodów z najmu i dzierżawy składników majątkowych gminy realizowanych przez Zarząd Zasobów Komunalnych z tytułu najmu 1.308 lokali mieszkalnych, 56 lokali użytkowych, 18 garaży, lokali i gruntów na Targowiskach Miejskich. </w:t>
      </w:r>
    </w:p>
    <w:p w:rsidR="00CD7E75" w:rsidRPr="005C02E7" w:rsidRDefault="00CD7E75" w:rsidP="00CD7E75">
      <w:pPr>
        <w:pStyle w:val="NormalnyWeb"/>
        <w:spacing w:after="0"/>
        <w:jc w:val="both"/>
      </w:pPr>
      <w:r>
        <w:tab/>
        <w:t xml:space="preserve">Zrealizowane dochody w pozostałych pozycjach są adekwatne do planu                             i rzeczywistości lokalnego rynku. </w:t>
      </w:r>
    </w:p>
    <w:p w:rsidR="00CD7E75" w:rsidRDefault="00CD7E75" w:rsidP="00CD7E75">
      <w:pPr>
        <w:pStyle w:val="NormalnyWeb"/>
        <w:spacing w:after="0"/>
        <w:ind w:firstLine="1134"/>
        <w:jc w:val="both"/>
      </w:pPr>
      <w:r>
        <w:t xml:space="preserve">W Uchwale RM XL/37/2013 z dn. 27.06.2013r. oraz Uchwale RM XLV/91/2013 z dn. 30.12.2013r. zostały </w:t>
      </w:r>
      <w:r w:rsidRPr="005C02E7">
        <w:t>skorygowan</w:t>
      </w:r>
      <w:r>
        <w:t>e</w:t>
      </w:r>
      <w:r w:rsidRPr="005C02E7">
        <w:t xml:space="preserve"> niektór</w:t>
      </w:r>
      <w:r>
        <w:t>e pozycje</w:t>
      </w:r>
      <w:r w:rsidRPr="005C02E7">
        <w:t xml:space="preserve"> </w:t>
      </w:r>
      <w:r>
        <w:t>dochodów poprzez uwzględnienie planu tam, gdzie wystąpiła nieprzewidziana realizacja przy jednoczesnym zmniejszeniu planu w pozycjach, w których istnieje prawdopodobieństwo braku realizacji</w:t>
      </w:r>
      <w:r w:rsidRPr="005C02E7">
        <w:t xml:space="preserve">. </w:t>
      </w:r>
      <w:r>
        <w:t xml:space="preserve"> </w:t>
      </w:r>
    </w:p>
    <w:p w:rsidR="00CD7E75" w:rsidRDefault="00CD7E75" w:rsidP="00CD7E75">
      <w:pPr>
        <w:pStyle w:val="NormalnyWeb"/>
        <w:spacing w:after="0"/>
        <w:ind w:firstLine="1134"/>
        <w:jc w:val="both"/>
      </w:pPr>
    </w:p>
    <w:p w:rsidR="00CD7E75" w:rsidRDefault="00CD7E75" w:rsidP="00CD7E75">
      <w:pPr>
        <w:pStyle w:val="NormalnyWeb"/>
        <w:spacing w:after="0"/>
        <w:ind w:firstLine="1134"/>
        <w:jc w:val="both"/>
      </w:pPr>
    </w:p>
    <w:p w:rsidR="00B0426C" w:rsidRPr="00CD7E75" w:rsidRDefault="00B0426C">
      <w:pPr>
        <w:rPr>
          <w:lang w:val="pl-PL"/>
        </w:rPr>
      </w:pPr>
    </w:p>
    <w:sectPr w:rsidR="00B0426C" w:rsidRPr="00CD7E75" w:rsidSect="00BF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276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387" w:rsidRDefault="00BF1387" w:rsidP="00CD7E75">
      <w:r>
        <w:separator/>
      </w:r>
    </w:p>
  </w:endnote>
  <w:endnote w:type="continuationSeparator" w:id="0">
    <w:p w:rsidR="00BF1387" w:rsidRDefault="00BF1387" w:rsidP="00CD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87" w:rsidRDefault="00BF13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9243"/>
      <w:docPartObj>
        <w:docPartGallery w:val="Page Numbers (Bottom of Page)"/>
        <w:docPartUnique/>
      </w:docPartObj>
    </w:sdtPr>
    <w:sdtContent>
      <w:p w:rsidR="00BF1387" w:rsidRDefault="00BF1387">
        <w:pPr>
          <w:pStyle w:val="Stopka"/>
          <w:jc w:val="center"/>
          <w:rPr>
            <w:lang w:val="pl-PL"/>
          </w:rPr>
        </w:pPr>
      </w:p>
      <w:p w:rsidR="00BF1387" w:rsidRDefault="00BF1387">
        <w:pPr>
          <w:pStyle w:val="Stopka"/>
          <w:jc w:val="center"/>
        </w:pPr>
        <w:fldSimple w:instr=" PAGE   \* MERGEFORMAT ">
          <w:r w:rsidR="00306F59">
            <w:rPr>
              <w:noProof/>
            </w:rPr>
            <w:t>11</w:t>
          </w:r>
        </w:fldSimple>
      </w:p>
    </w:sdtContent>
  </w:sdt>
  <w:p w:rsidR="00BF1387" w:rsidRDefault="00BF13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87" w:rsidRDefault="00BF13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387" w:rsidRDefault="00BF1387" w:rsidP="00CD7E75">
      <w:r>
        <w:separator/>
      </w:r>
    </w:p>
  </w:footnote>
  <w:footnote w:type="continuationSeparator" w:id="0">
    <w:p w:rsidR="00BF1387" w:rsidRDefault="00BF1387" w:rsidP="00CD7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87" w:rsidRDefault="00BF13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87" w:rsidRDefault="00BF13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387" w:rsidRDefault="00BF13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40A3E"/>
    <w:multiLevelType w:val="hybridMultilevel"/>
    <w:tmpl w:val="C3E4ACC6"/>
    <w:lvl w:ilvl="0" w:tplc="13A27D8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BA21A60"/>
    <w:multiLevelType w:val="hybridMultilevel"/>
    <w:tmpl w:val="D0B07DE6"/>
    <w:lvl w:ilvl="0" w:tplc="315294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906C9"/>
    <w:multiLevelType w:val="hybridMultilevel"/>
    <w:tmpl w:val="94C252D0"/>
    <w:lvl w:ilvl="0" w:tplc="A1282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2136A"/>
    <w:multiLevelType w:val="hybridMultilevel"/>
    <w:tmpl w:val="1BD08294"/>
    <w:lvl w:ilvl="0" w:tplc="13A27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E75"/>
    <w:rsid w:val="000265C1"/>
    <w:rsid w:val="00306F59"/>
    <w:rsid w:val="00B0426C"/>
    <w:rsid w:val="00B3217E"/>
    <w:rsid w:val="00BF1387"/>
    <w:rsid w:val="00CD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E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7E75"/>
    <w:pPr>
      <w:widowControl/>
      <w:suppressAutoHyphens w:val="0"/>
      <w:spacing w:before="100" w:beforeAutospacing="1" w:after="119"/>
    </w:pPr>
    <w:rPr>
      <w:szCs w:val="24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7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E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7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e.kowalik</cp:lastModifiedBy>
  <cp:revision>2</cp:revision>
  <dcterms:created xsi:type="dcterms:W3CDTF">2014-03-28T12:45:00Z</dcterms:created>
  <dcterms:modified xsi:type="dcterms:W3CDTF">2014-03-28T12:51:00Z</dcterms:modified>
</cp:coreProperties>
</file>